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46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093"/>
        <w:gridCol w:w="5245"/>
        <w:gridCol w:w="2126"/>
      </w:tblGrid>
      <w:tr>
        <w:trPr/>
        <w:tc>
          <w:tcPr>
            <w:tcW w:w="2093" w:type="dxa"/>
            <w:tcBorders>
              <w:top w:val="nil"/>
              <w:left w:val="nil"/>
              <w:bottom w:val="nil"/>
              <w:right w:val="nil"/>
            </w:tcBorders>
          </w:tcPr>
          <w:p>
            <w:pPr>
              <w:pStyle w:val="NoSpacing"/>
              <w:widowControl/>
              <w:suppressAutoHyphens w:val="true"/>
              <w:spacing w:before="0" w:after="0"/>
              <w:jc w:val="left"/>
              <w:rPr>
                <w:rFonts w:ascii="Arial" w:hAnsi="Arial" w:cs="Arial"/>
              </w:rPr>
            </w:pPr>
            <w:r>
              <w:rPr>
                <w:rFonts w:cs="Arial" w:ascii="Arial" w:hAnsi="Arial"/>
              </w:rPr>
              <w:drawing>
                <wp:anchor behindDoc="0" distT="0" distB="0" distL="0" distR="0" simplePos="0" locked="0" layoutInCell="1" allowOverlap="1" relativeHeight="3">
                  <wp:simplePos x="0" y="0"/>
                  <wp:positionH relativeFrom="column">
                    <wp:posOffset>0</wp:posOffset>
                  </wp:positionH>
                  <wp:positionV relativeFrom="paragraph">
                    <wp:posOffset>254635</wp:posOffset>
                  </wp:positionV>
                  <wp:extent cx="1146810" cy="662940"/>
                  <wp:effectExtent l="0" t="0" r="0" b="0"/>
                  <wp:wrapNone/>
                  <wp:docPr id="1" name="Picture 6" descr="A picture containing graphics, circle,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picture containing graphics, circle, screenshot, graphic design&#10;&#10;Description automatically generated"/>
                          <pic:cNvPicPr>
                            <a:picLocks noChangeAspect="1" noChangeArrowheads="1"/>
                          </pic:cNvPicPr>
                        </pic:nvPicPr>
                        <pic:blipFill>
                          <a:blip r:embed="rId2"/>
                          <a:srcRect l="19082" t="19726" r="19790" b="3647"/>
                          <a:stretch>
                            <a:fillRect/>
                          </a:stretch>
                        </pic:blipFill>
                        <pic:spPr bwMode="auto">
                          <a:xfrm>
                            <a:off x="0" y="0"/>
                            <a:ext cx="1146810" cy="662940"/>
                          </a:xfrm>
                          <a:prstGeom prst="rect">
                            <a:avLst/>
                          </a:prstGeom>
                          <a:noFill/>
                        </pic:spPr>
                      </pic:pic>
                    </a:graphicData>
                  </a:graphic>
                </wp:anchor>
              </w:drawing>
            </w:r>
          </w:p>
        </w:tc>
        <w:tc>
          <w:tcPr>
            <w:tcW w:w="5245" w:type="dxa"/>
            <w:tcBorders>
              <w:top w:val="nil"/>
              <w:left w:val="nil"/>
              <w:bottom w:val="nil"/>
              <w:right w:val="nil"/>
            </w:tcBorders>
          </w:tcPr>
          <w:p>
            <w:pPr>
              <w:pStyle w:val="NoSpacing"/>
              <w:widowControl/>
              <w:suppressAutoHyphens w:val="true"/>
              <w:spacing w:before="0" w:after="0"/>
              <w:jc w:val="center"/>
              <w:rPr>
                <w:rFonts w:ascii="Arial" w:hAnsi="Arial" w:cs="Arial"/>
                <w:b/>
                <w:bCs/>
                <w:sz w:val="96"/>
                <w:szCs w:val="96"/>
              </w:rPr>
            </w:pPr>
            <w:r>
              <w:rPr>
                <w:rFonts w:eastAsia="Calibri" w:cs="Arial" w:ascii="Arial" w:hAnsi="Arial"/>
                <w:b/>
                <w:bCs/>
                <w:sz w:val="96"/>
                <w:szCs w:val="96"/>
                <w:lang w:val="en-GB" w:eastAsia="en-US" w:bidi="ar-SA"/>
              </w:rPr>
              <w:t>TENNIS!</w:t>
            </w:r>
          </w:p>
          <w:p>
            <w:pPr>
              <w:pStyle w:val="Normal"/>
              <w:widowControl/>
              <w:suppressAutoHyphens w:val="true"/>
              <w:spacing w:lineRule="auto" w:line="259" w:before="0" w:after="160"/>
              <w:jc w:val="left"/>
              <w:rPr>
                <w:b/>
                <w:bCs/>
                <w:sz w:val="32"/>
                <w:szCs w:val="32"/>
              </w:rPr>
            </w:pPr>
            <w:r>
              <w:rPr>
                <w:rFonts w:eastAsia="Calibri" w:cs=""/>
                <w:b/>
                <w:bCs/>
                <w:kern w:val="2"/>
                <w:sz w:val="32"/>
                <w:szCs w:val="32"/>
                <w:lang w:val="en-GB" w:eastAsia="en-US" w:bidi="ar-SA"/>
              </w:rPr>
              <w:t>Swavesey &amp; Over Tennis Club (SOTC)</w:t>
            </w:r>
          </w:p>
        </w:tc>
        <w:tc>
          <w:tcPr>
            <w:tcW w:w="2126" w:type="dxa"/>
            <w:tcBorders>
              <w:top w:val="nil"/>
              <w:left w:val="nil"/>
              <w:bottom w:val="nil"/>
              <w:right w:val="nil"/>
            </w:tcBorders>
          </w:tcPr>
          <w:p>
            <w:pPr>
              <w:pStyle w:val="NoSpacing"/>
              <w:widowControl/>
              <w:suppressAutoHyphens w:val="true"/>
              <w:spacing w:before="0" w:after="0"/>
              <w:jc w:val="left"/>
              <w:rPr>
                <w:rFonts w:ascii="Arial" w:hAnsi="Arial" w:cs="Arial"/>
              </w:rPr>
            </w:pPr>
            <w:r>
              <w:rPr>
                <w:rFonts w:cs="Arial" w:ascii="Arial" w:hAnsi="Arial"/>
              </w:rPr>
              <w:drawing>
                <wp:anchor behindDoc="0" distT="0" distB="0" distL="0" distR="0" simplePos="0" locked="0" layoutInCell="1" allowOverlap="1" relativeHeight="4">
                  <wp:simplePos x="0" y="0"/>
                  <wp:positionH relativeFrom="column">
                    <wp:posOffset>216535</wp:posOffset>
                  </wp:positionH>
                  <wp:positionV relativeFrom="paragraph">
                    <wp:posOffset>125730</wp:posOffset>
                  </wp:positionV>
                  <wp:extent cx="812800" cy="800100"/>
                  <wp:effectExtent l="0" t="0" r="0" b="0"/>
                  <wp:wrapNone/>
                  <wp:docPr id="2" name="Picture 12" descr="A tennis rackets and a ball&#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A tennis rackets and a ball&#10;&#10;Description automatically generated with medium confidence">
                            <a:hlinkClick r:id="rId4"/>
                          </pic:cNvPr>
                          <pic:cNvPicPr>
                            <a:picLocks noChangeAspect="1" noChangeArrowheads="1"/>
                          </pic:cNvPicPr>
                        </pic:nvPicPr>
                        <pic:blipFill>
                          <a:blip r:embed="rId3"/>
                          <a:stretch>
                            <a:fillRect/>
                          </a:stretch>
                        </pic:blipFill>
                        <pic:spPr bwMode="auto">
                          <a:xfrm>
                            <a:off x="0" y="0"/>
                            <a:ext cx="812800" cy="800100"/>
                          </a:xfrm>
                          <a:prstGeom prst="rect">
                            <a:avLst/>
                          </a:prstGeom>
                          <a:noFill/>
                        </pic:spPr>
                      </pic:pic>
                    </a:graphicData>
                  </a:graphic>
                </wp:anchor>
              </w:drawing>
            </w:r>
          </w:p>
        </w:tc>
      </w:tr>
    </w:tbl>
    <w:p>
      <w:pPr>
        <w:pStyle w:val="Normal"/>
        <w:spacing w:lineRule="auto" w:line="240" w:before="0" w:after="0"/>
        <w:rPr/>
      </w:pPr>
      <w:r>
        <w:rPr/>
        <w:t xml:space="preserve">SOTC is a small, friendly club based at Swavesey Village College (SVC) Sports Centre with four floodlit courts managed by the sports centre staff – two hard courts and two astroturf courts. The club is run by its members, with everyone encouraged to come forward with suggestions that may improve the club and to participate in the committee. </w:t>
      </w:r>
    </w:p>
    <w:p>
      <w:pPr>
        <w:pStyle w:val="Normal"/>
        <w:spacing w:lineRule="auto" w:line="240" w:before="0" w:after="0"/>
        <w:rPr/>
      </w:pPr>
      <w:r>
        <w:rPr/>
      </w:r>
    </w:p>
    <w:p>
      <w:pPr>
        <w:pStyle w:val="Normal"/>
        <w:spacing w:lineRule="auto" w:line="240" w:before="0" w:after="0"/>
        <w:rPr>
          <w:b/>
          <w:bCs/>
        </w:rPr>
      </w:pPr>
      <w:r>
        <w:rPr>
          <w:b/>
          <w:bCs/>
        </w:rPr>
        <w:t>Join us!</w:t>
      </w:r>
    </w:p>
    <w:p>
      <w:pPr>
        <w:pStyle w:val="Normal"/>
        <w:spacing w:lineRule="auto" w:line="240" w:before="0" w:after="0"/>
        <w:rPr/>
      </w:pPr>
      <w:r>
        <w:rPr/>
        <w:t xml:space="preserve">Tennis is great for fitness, very social and the SOTC is good value with low club fees and welcomes all abilities.  </w:t>
      </w:r>
      <w:r>
        <w:rPr>
          <w:b/>
          <w:bCs/>
        </w:rPr>
        <w:t>You are welcome to come along to two club nights, free of charge before deciding to join.</w:t>
      </w:r>
      <w:r>
        <w:rPr/>
        <w:t xml:space="preserve"> </w:t>
      </w:r>
    </w:p>
    <w:p>
      <w:pPr>
        <w:pStyle w:val="ListParagraph"/>
        <w:numPr>
          <w:ilvl w:val="0"/>
          <w:numId w:val="5"/>
        </w:numPr>
        <w:spacing w:lineRule="auto" w:line="240" w:before="0" w:after="0"/>
        <w:contextualSpacing/>
        <w:rPr/>
      </w:pPr>
      <w:r>
        <w:rPr/>
        <w:t xml:space="preserve">Email SwaveseyOverTennis@gmail.com, call Nick 0797 3250613 or Melanie 07453 523999, or just drop into any Monday club night at SVC, Gibraltar Lane, CB24 4RS. </w:t>
      </w:r>
    </w:p>
    <w:p>
      <w:pPr>
        <w:pStyle w:val="ListParagraph"/>
        <w:numPr>
          <w:ilvl w:val="0"/>
          <w:numId w:val="5"/>
        </w:numPr>
        <w:spacing w:lineRule="auto" w:line="240" w:before="0" w:after="0"/>
        <w:contextualSpacing/>
        <w:rPr/>
      </w:pPr>
      <w:r>
        <w:rPr/>
        <w:t xml:space="preserve">Or contact SVC Sports Centre by email </w:t>
      </w:r>
      <w:hyperlink r:id="rId5">
        <w:r>
          <w:rPr>
            <w:rStyle w:val="Hyperlink"/>
          </w:rPr>
          <w:t>sport@swaveseyvc.co.uk</w:t>
        </w:r>
      </w:hyperlink>
      <w:r>
        <w:rPr/>
        <w:t xml:space="preserve"> or phone 01954 234453</w:t>
      </w:r>
    </w:p>
    <w:p>
      <w:pPr>
        <w:pStyle w:val="Normal"/>
        <w:spacing w:lineRule="auto" w:line="240" w:before="0" w:after="0"/>
        <w:rPr/>
      </w:pPr>
      <w:r>
        <w:rPr/>
      </w:r>
    </w:p>
    <w:p>
      <w:pPr>
        <w:pStyle w:val="Normal"/>
        <w:spacing w:lineRule="auto" w:line="240" w:before="0" w:after="0"/>
        <w:rPr>
          <w:b/>
          <w:bCs/>
        </w:rPr>
      </w:pPr>
      <w:r>
        <w:rPr>
          <w:b/>
          <w:bCs/>
        </w:rPr>
        <w:t>Membership prices</w:t>
      </w:r>
    </w:p>
    <w:p>
      <w:pPr>
        <w:pStyle w:val="Normal"/>
        <w:spacing w:lineRule="auto" w:line="240" w:before="0" w:after="0"/>
        <w:rPr/>
      </w:pPr>
      <w:r>
        <w:rPr/>
        <w:t>The Membership year runs from 1 April to 31 March. The 2025-6 season prices are:</w:t>
      </w:r>
    </w:p>
    <w:p>
      <w:pPr>
        <w:pStyle w:val="Normal"/>
        <w:spacing w:lineRule="auto" w:line="240" w:before="0" w:after="0"/>
        <w:rPr/>
      </w:pPr>
      <w:r>
        <w:rPr/>
      </w:r>
    </w:p>
    <w:tbl>
      <w:tblPr>
        <w:tblStyle w:val="TableGrid"/>
        <w:tblW w:w="892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219"/>
        <w:gridCol w:w="887"/>
        <w:gridCol w:w="5820"/>
      </w:tblGrid>
      <w:tr>
        <w:trPr/>
        <w:tc>
          <w:tcPr>
            <w:tcW w:w="2219" w:type="dxa"/>
            <w:tcBorders/>
            <w:shd w:color="auto" w:fill="D9E2F3" w:themeFill="accent1" w:themeFillTint="33" w:val="clear"/>
          </w:tcPr>
          <w:p>
            <w:pPr>
              <w:pStyle w:val="Normal"/>
              <w:widowControl/>
              <w:suppressAutoHyphens w:val="true"/>
              <w:spacing w:lineRule="auto" w:line="240" w:before="0" w:after="0"/>
              <w:jc w:val="left"/>
              <w:rPr>
                <w:b/>
                <w:bCs/>
              </w:rPr>
            </w:pPr>
            <w:r>
              <w:rPr>
                <w:rFonts w:eastAsia="Calibri" w:cs=""/>
                <w:b/>
                <w:bCs/>
                <w:kern w:val="2"/>
                <w:sz w:val="22"/>
                <w:szCs w:val="22"/>
                <w:lang w:val="en-GB" w:eastAsia="en-US" w:bidi="ar-SA"/>
              </w:rPr>
              <w:t>Type</w:t>
            </w:r>
          </w:p>
        </w:tc>
        <w:tc>
          <w:tcPr>
            <w:tcW w:w="887" w:type="dxa"/>
            <w:tcBorders/>
            <w:shd w:color="auto" w:fill="D9E2F3" w:themeFill="accent1" w:themeFillTint="33" w:val="clear"/>
          </w:tcPr>
          <w:p>
            <w:pPr>
              <w:pStyle w:val="Normal"/>
              <w:widowControl/>
              <w:suppressAutoHyphens w:val="true"/>
              <w:spacing w:lineRule="auto" w:line="240" w:before="0" w:after="0"/>
              <w:jc w:val="left"/>
              <w:rPr>
                <w:b/>
                <w:bCs/>
              </w:rPr>
            </w:pPr>
            <w:r>
              <w:rPr>
                <w:rFonts w:eastAsia="Calibri" w:cs=""/>
                <w:b/>
                <w:bCs/>
                <w:kern w:val="2"/>
                <w:sz w:val="22"/>
                <w:szCs w:val="22"/>
                <w:lang w:val="en-GB" w:eastAsia="en-US" w:bidi="ar-SA"/>
              </w:rPr>
              <w:t>2025-6</w:t>
            </w:r>
          </w:p>
        </w:tc>
        <w:tc>
          <w:tcPr>
            <w:tcW w:w="5820" w:type="dxa"/>
            <w:tcBorders/>
            <w:shd w:color="auto" w:fill="D9E2F3" w:themeFill="accent1" w:themeFillTint="33" w:val="clear"/>
          </w:tcPr>
          <w:p>
            <w:pPr>
              <w:pStyle w:val="Normal"/>
              <w:widowControl/>
              <w:suppressAutoHyphens w:val="true"/>
              <w:spacing w:lineRule="auto" w:line="240" w:before="0" w:after="0"/>
              <w:jc w:val="left"/>
              <w:rPr>
                <w:b/>
                <w:bCs/>
              </w:rPr>
            </w:pPr>
            <w:r>
              <w:rPr>
                <w:rFonts w:eastAsia="Calibri" w:cs=""/>
                <w:b/>
                <w:bCs/>
                <w:kern w:val="2"/>
                <w:sz w:val="22"/>
                <w:szCs w:val="22"/>
                <w:lang w:val="en-GB" w:eastAsia="en-US" w:bidi="ar-SA"/>
              </w:rPr>
              <w:t>Notes</w:t>
            </w:r>
          </w:p>
        </w:tc>
      </w:tr>
      <w:tr>
        <w:trPr/>
        <w:tc>
          <w:tcPr>
            <w:tcW w:w="2219"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Adult</w:t>
            </w:r>
          </w:p>
        </w:tc>
        <w:tc>
          <w:tcPr>
            <w:tcW w:w="887"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£35</w:t>
            </w:r>
          </w:p>
        </w:tc>
        <w:tc>
          <w:tcPr>
            <w:tcW w:w="5820"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r>
          </w:p>
        </w:tc>
      </w:tr>
      <w:tr>
        <w:trPr/>
        <w:tc>
          <w:tcPr>
            <w:tcW w:w="2219"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Couple</w:t>
            </w:r>
          </w:p>
        </w:tc>
        <w:tc>
          <w:tcPr>
            <w:tcW w:w="887"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£60</w:t>
            </w:r>
          </w:p>
        </w:tc>
        <w:tc>
          <w:tcPr>
            <w:tcW w:w="5820"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r>
          </w:p>
        </w:tc>
      </w:tr>
      <w:tr>
        <w:trPr/>
        <w:tc>
          <w:tcPr>
            <w:tcW w:w="2219"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Family</w:t>
            </w:r>
          </w:p>
        </w:tc>
        <w:tc>
          <w:tcPr>
            <w:tcW w:w="887"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£80</w:t>
            </w:r>
          </w:p>
        </w:tc>
        <w:tc>
          <w:tcPr>
            <w:tcW w:w="5820"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Two parents/carers and children aged under 18</w:t>
            </w:r>
          </w:p>
        </w:tc>
      </w:tr>
      <w:tr>
        <w:trPr/>
        <w:tc>
          <w:tcPr>
            <w:tcW w:w="2219"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Single parent family</w:t>
            </w:r>
          </w:p>
        </w:tc>
        <w:tc>
          <w:tcPr>
            <w:tcW w:w="887"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£50</w:t>
            </w:r>
          </w:p>
        </w:tc>
        <w:tc>
          <w:tcPr>
            <w:tcW w:w="5820"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One parent/carer and children aged under 18</w:t>
            </w:r>
          </w:p>
        </w:tc>
      </w:tr>
      <w:tr>
        <w:trPr/>
        <w:tc>
          <w:tcPr>
            <w:tcW w:w="2219"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Junior</w:t>
            </w:r>
          </w:p>
        </w:tc>
        <w:tc>
          <w:tcPr>
            <w:tcW w:w="887"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£20</w:t>
            </w:r>
          </w:p>
        </w:tc>
        <w:tc>
          <w:tcPr>
            <w:tcW w:w="5820"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Young person aged 13 to 18 years old</w:t>
            </w:r>
          </w:p>
        </w:tc>
      </w:tr>
      <w:tr>
        <w:trPr/>
        <w:tc>
          <w:tcPr>
            <w:tcW w:w="2219"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Concession</w:t>
            </w:r>
          </w:p>
        </w:tc>
        <w:tc>
          <w:tcPr>
            <w:tcW w:w="887"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£20</w:t>
            </w:r>
          </w:p>
        </w:tc>
        <w:tc>
          <w:tcPr>
            <w:tcW w:w="5820" w:type="dxa"/>
            <w:tcBorders/>
          </w:tcPr>
          <w:p>
            <w:pPr>
              <w:pStyle w:val="Normal"/>
              <w:widowControl/>
              <w:suppressAutoHyphens w:val="true"/>
              <w:spacing w:lineRule="auto" w:line="240" w:before="0" w:after="0"/>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Unemployed, in full-time education or on universal credit</w:t>
            </w:r>
          </w:p>
        </w:tc>
      </w:tr>
    </w:tbl>
    <w:p>
      <w:pPr>
        <w:pStyle w:val="Normal"/>
        <w:spacing w:lineRule="auto" w:line="240" w:before="0" w:after="0"/>
        <w:rPr/>
      </w:pPr>
      <w:r>
        <w:rPr/>
      </w:r>
    </w:p>
    <w:p>
      <w:pPr>
        <w:pStyle w:val="Normal"/>
        <w:spacing w:lineRule="auto" w:line="240" w:before="0" w:after="0"/>
        <w:rPr/>
      </w:pPr>
      <w:r>
        <w:rPr/>
        <w:t xml:space="preserve">To join the club as a new member or to renew your membership, download and print a membership form from the SOTC website </w:t>
      </w:r>
      <w:hyperlink r:id="rId6">
        <w:r>
          <w:rPr>
            <w:rStyle w:val="Hyperlink"/>
          </w:rPr>
          <w:t>https://swaveseyovertennis.wixsite.com/sotc/membership</w:t>
        </w:r>
      </w:hyperlink>
      <w:r>
        <w:rPr/>
        <w:t xml:space="preserve">. Once completed, take it with you to the SVC Sports Centre on a club night and pay by debit or credit card.  </w:t>
      </w:r>
    </w:p>
    <w:p>
      <w:pPr>
        <w:pStyle w:val="Normal"/>
        <w:spacing w:lineRule="auto" w:line="240" w:before="0" w:after="0"/>
        <w:rPr/>
      </w:pPr>
      <w:r>
        <w:rPr/>
      </w:r>
    </w:p>
    <w:p>
      <w:pPr>
        <w:pStyle w:val="Normal"/>
        <w:spacing w:lineRule="auto" w:line="240" w:before="0" w:after="0"/>
        <w:rPr>
          <w:b/>
          <w:bCs/>
        </w:rPr>
      </w:pPr>
      <w:r>
        <w:rPr>
          <w:b/>
          <w:bCs/>
        </w:rPr>
        <w:t>Membership benefits for 2025-26</w:t>
      </w:r>
    </w:p>
    <w:p>
      <w:pPr>
        <w:pStyle w:val="ListParagraph"/>
        <w:numPr>
          <w:ilvl w:val="0"/>
          <w:numId w:val="3"/>
        </w:numPr>
        <w:spacing w:lineRule="auto" w:line="240" w:before="0" w:after="0"/>
        <w:contextualSpacing/>
        <w:rPr/>
      </w:pPr>
      <w:r>
        <w:rPr/>
        <w:t xml:space="preserve">Club nights on Mondays and Fridays 18.30-20.30 (but closed on bank holidays). </w:t>
      </w:r>
    </w:p>
    <w:p>
      <w:pPr>
        <w:pStyle w:val="ListParagraph"/>
        <w:numPr>
          <w:ilvl w:val="0"/>
          <w:numId w:val="3"/>
        </w:numPr>
        <w:spacing w:lineRule="auto" w:line="240" w:before="0" w:after="0"/>
        <w:contextualSpacing/>
        <w:rPr/>
      </w:pPr>
      <w:r>
        <w:rPr/>
        <w:t xml:space="preserve">Free bookings for use of the courts at other times (evenings between 17.00-21.00 and weekends between 09.00-12.00). Floodlights if required are available at an extra charge. You will need to create an account at the online booking system: </w:t>
      </w:r>
      <w:hyperlink r:id="rId7">
        <w:r>
          <w:rPr>
            <w:rStyle w:val="Hyperlink"/>
          </w:rPr>
          <w:t>Swavesey Village College venue for hire in Cambridge - SchoolHire</w:t>
        </w:r>
      </w:hyperlink>
      <w:r>
        <w:rPr/>
        <w:t xml:space="preserve">. Non-member hourly price to book a tennis court is £10 with lights, £6.67 without lights. </w:t>
      </w:r>
    </w:p>
    <w:p>
      <w:pPr>
        <w:pStyle w:val="ListParagraph"/>
        <w:numPr>
          <w:ilvl w:val="0"/>
          <w:numId w:val="3"/>
        </w:numPr>
        <w:spacing w:lineRule="auto" w:line="240" w:before="0" w:after="0"/>
        <w:contextualSpacing/>
        <w:rPr/>
      </w:pPr>
      <w:r>
        <w:rPr/>
        <w:t>Member of the SOTC WhatsApp group, administrated by some of the SOTC committee members, through which all members can communicate about the tennis club.</w:t>
      </w:r>
    </w:p>
    <w:p>
      <w:pPr>
        <w:pStyle w:val="ListParagraph"/>
        <w:numPr>
          <w:ilvl w:val="0"/>
          <w:numId w:val="3"/>
        </w:numPr>
        <w:spacing w:lineRule="auto" w:line="240" w:before="0" w:after="0"/>
        <w:contextualSpacing/>
        <w:rPr/>
      </w:pPr>
      <w:r>
        <w:rPr/>
        <w:t xml:space="preserve">Join British Tennis for free on the LTA (Lawn Tennis Association) website </w:t>
      </w:r>
      <w:hyperlink r:id="rId8">
        <w:r>
          <w:rPr>
            <w:rStyle w:val="Hyperlink"/>
          </w:rPr>
          <w:t>www.lta.org.uk/members/join</w:t>
        </w:r>
      </w:hyperlink>
      <w:r>
        <w:rPr/>
        <w:t>. British tennis members are eligible for entry into the ballot for Wimbledon tickets.</w:t>
      </w:r>
    </w:p>
    <w:p>
      <w:pPr>
        <w:pStyle w:val="ListParagraph"/>
        <w:numPr>
          <w:ilvl w:val="0"/>
          <w:numId w:val="3"/>
        </w:numPr>
        <w:spacing w:lineRule="auto" w:line="240" w:before="0" w:after="0"/>
        <w:contextualSpacing/>
        <w:rPr/>
      </w:pPr>
      <w:r>
        <w:rPr/>
        <w:t>SOTC is covered for third party and public liability insurance as a full member of the Lawn Tennis Association (LTA). However, members are advised to consider having personal injury insurance.</w:t>
      </w:r>
    </w:p>
    <w:p>
      <w:pPr>
        <w:pStyle w:val="Normal"/>
        <w:spacing w:lineRule="auto" w:line="240" w:before="0" w:after="0"/>
        <w:rPr>
          <w:b/>
          <w:bCs/>
        </w:rPr>
      </w:pPr>
      <w:r>
        <w:rPr>
          <w:b/>
          <w:bCs/>
        </w:rPr>
      </w:r>
    </w:p>
    <w:p>
      <w:pPr>
        <w:pStyle w:val="Normal"/>
        <w:spacing w:lineRule="auto" w:line="240" w:before="0" w:after="0"/>
        <w:rPr>
          <w:b/>
          <w:bCs/>
        </w:rPr>
      </w:pPr>
      <w:r>
        <w:rPr>
          <w:b/>
          <w:bCs/>
        </w:rPr>
        <w:t>Equipment</w:t>
      </w:r>
    </w:p>
    <w:p>
      <w:pPr>
        <w:pStyle w:val="ListParagraph"/>
        <w:numPr>
          <w:ilvl w:val="0"/>
          <w:numId w:val="6"/>
        </w:numPr>
        <w:spacing w:lineRule="auto" w:line="240" w:before="0" w:after="0"/>
        <w:contextualSpacing/>
        <w:rPr>
          <w:b/>
          <w:bCs/>
        </w:rPr>
      </w:pPr>
      <w:r>
        <w:rPr/>
        <w:t>You will need to bring your own racket and balls.</w:t>
      </w:r>
    </w:p>
    <w:p>
      <w:pPr>
        <w:pStyle w:val="Normal"/>
        <w:spacing w:lineRule="auto" w:line="240" w:before="0" w:after="0"/>
        <w:rPr>
          <w:b/>
          <w:bCs/>
        </w:rPr>
      </w:pPr>
      <w:r>
        <w:rPr>
          <w:b/>
          <w:bCs/>
        </w:rPr>
      </w:r>
    </w:p>
    <w:p>
      <w:pPr>
        <w:pStyle w:val="Normal"/>
        <w:spacing w:lineRule="auto" w:line="240" w:before="0" w:after="0"/>
        <w:rPr>
          <w:b/>
          <w:bCs/>
        </w:rPr>
      </w:pPr>
      <w:r>
        <w:rPr>
          <w:b/>
          <w:bCs/>
        </w:rPr>
        <w:t>Children</w:t>
      </w:r>
    </w:p>
    <w:p>
      <w:pPr>
        <w:pStyle w:val="ListParagraph"/>
        <w:numPr>
          <w:ilvl w:val="0"/>
          <w:numId w:val="4"/>
        </w:numPr>
        <w:spacing w:lineRule="auto" w:line="240" w:before="0" w:after="0"/>
        <w:contextualSpacing/>
        <w:rPr/>
      </w:pPr>
      <w:r>
        <w:rPr/>
        <w:t xml:space="preserve">Children aged 13 and above may join and attend without their parents, provided they are confident in playing without supervision and instruction, and with the adult players.   </w:t>
      </w:r>
    </w:p>
    <w:p>
      <w:pPr>
        <w:pStyle w:val="ListParagraph"/>
        <w:numPr>
          <w:ilvl w:val="0"/>
          <w:numId w:val="4"/>
        </w:numPr>
        <w:rPr/>
      </w:pPr>
      <w:r>
        <w:rPr/>
        <w:t>Parents/carers must take responsibility for being with their younger children attending club nights.</w:t>
      </w:r>
    </w:p>
    <w:p>
      <w:pPr>
        <w:pStyle w:val="Normal"/>
        <w:spacing w:lineRule="auto" w:line="240" w:before="0" w:after="0"/>
        <w:rPr>
          <w:b/>
          <w:bCs/>
        </w:rPr>
      </w:pPr>
      <w:r>
        <w:rPr>
          <w:b/>
          <w:bCs/>
        </w:rPr>
        <w:t>Coaching and Matches</w:t>
      </w:r>
    </w:p>
    <w:p>
      <w:pPr>
        <w:pStyle w:val="ListParagraph"/>
        <w:numPr>
          <w:ilvl w:val="0"/>
          <w:numId w:val="1"/>
        </w:numPr>
        <w:spacing w:lineRule="auto" w:line="240" w:before="0" w:after="0"/>
        <w:contextualSpacing/>
        <w:rPr>
          <w:b/>
          <w:bCs/>
        </w:rPr>
      </w:pPr>
      <w:r>
        <w:rPr/>
        <w:t>Although we all learn from each other to improve our game, the club does not routinely offer coaching - this can be an option if there is sufficient demand from the members and will be at additional cost.</w:t>
      </w:r>
    </w:p>
    <w:p>
      <w:pPr>
        <w:pStyle w:val="ListParagraph"/>
        <w:numPr>
          <w:ilvl w:val="0"/>
          <w:numId w:val="1"/>
        </w:numPr>
        <w:spacing w:lineRule="auto" w:line="240" w:before="0" w:after="0"/>
        <w:contextualSpacing/>
        <w:rPr>
          <w:b/>
          <w:bCs/>
        </w:rPr>
      </w:pPr>
      <w:r>
        <w:rPr/>
        <w:t xml:space="preserve">SOTC has not played against other clubs since before 'lock-down' but if there is willingness and commitment the club can set up friendly or league matches with other clubs. </w:t>
      </w:r>
    </w:p>
    <w:p>
      <w:pPr>
        <w:pStyle w:val="Normal"/>
        <w:spacing w:lineRule="auto" w:line="240" w:before="0" w:after="0"/>
        <w:rPr>
          <w:b/>
          <w:bCs/>
        </w:rPr>
      </w:pPr>
      <w:r>
        <w:rPr>
          <w:b/>
          <w:bCs/>
        </w:rPr>
      </w:r>
    </w:p>
    <w:p>
      <w:pPr>
        <w:pStyle w:val="Normal"/>
        <w:spacing w:lineRule="auto" w:line="240" w:before="0" w:after="0"/>
        <w:rPr>
          <w:b/>
          <w:bCs/>
        </w:rPr>
      </w:pPr>
      <w:r>
        <w:rPr>
          <w:b/>
          <w:bCs/>
        </w:rPr>
        <w:t>Committee Members</w:t>
      </w:r>
    </w:p>
    <w:p>
      <w:pPr>
        <w:pStyle w:val="ListParagraph"/>
        <w:numPr>
          <w:ilvl w:val="0"/>
          <w:numId w:val="2"/>
        </w:numPr>
        <w:spacing w:lineRule="auto" w:line="240" w:before="0" w:after="0"/>
        <w:contextualSpacing/>
        <w:rPr/>
      </w:pPr>
      <w:r>
        <w:rPr/>
        <w:t>Chairman: Nick Horn</w:t>
      </w:r>
      <w:r>
        <w:rPr/>
        <w:t>e</w:t>
      </w:r>
    </w:p>
    <w:p>
      <w:pPr>
        <w:pStyle w:val="ListParagraph"/>
        <w:numPr>
          <w:ilvl w:val="0"/>
          <w:numId w:val="2"/>
        </w:numPr>
        <w:spacing w:lineRule="auto" w:line="240" w:before="0" w:after="0"/>
        <w:contextualSpacing/>
        <w:rPr/>
      </w:pPr>
      <w:r>
        <w:rPr/>
        <w:t>Treasurer: Andy Sederman</w:t>
      </w:r>
    </w:p>
    <w:p>
      <w:pPr>
        <w:pStyle w:val="ListParagraph"/>
        <w:numPr>
          <w:ilvl w:val="0"/>
          <w:numId w:val="2"/>
        </w:numPr>
        <w:spacing w:lineRule="auto" w:line="240" w:before="0" w:after="0"/>
        <w:contextualSpacing/>
        <w:rPr/>
      </w:pPr>
      <w:r>
        <w:rPr/>
        <w:t>Welfare Officer: Rosanna Smith</w:t>
      </w:r>
    </w:p>
    <w:p>
      <w:pPr>
        <w:pStyle w:val="ListParagraph"/>
        <w:numPr>
          <w:ilvl w:val="0"/>
          <w:numId w:val="2"/>
        </w:numPr>
        <w:spacing w:lineRule="auto" w:line="240" w:before="0" w:after="0"/>
        <w:contextualSpacing/>
        <w:rPr/>
      </w:pPr>
      <w:r>
        <w:rPr/>
        <w:t>Committee member: Melanie Pankhurst</w:t>
      </w:r>
    </w:p>
    <w:p>
      <w:pPr>
        <w:pStyle w:val="ListParagraph"/>
        <w:numPr>
          <w:ilvl w:val="0"/>
          <w:numId w:val="2"/>
        </w:numPr>
        <w:spacing w:lineRule="auto" w:line="240" w:before="0" w:after="0"/>
        <w:contextualSpacing/>
        <w:rPr/>
      </w:pPr>
      <w:r>
        <w:rPr/>
        <w:t>Committee member: Julie Skillington</w:t>
      </w:r>
    </w:p>
    <w:p>
      <w:pPr>
        <w:pStyle w:val="ListParagraph"/>
        <w:numPr>
          <w:ilvl w:val="0"/>
          <w:numId w:val="2"/>
        </w:numPr>
        <w:spacing w:lineRule="auto" w:line="240" w:before="0" w:after="0"/>
        <w:contextualSpacing/>
        <w:rPr/>
      </w:pPr>
      <w:r>
        <w:rPr/>
        <w:t>Committee member: Brian Abery</w:t>
      </w:r>
    </w:p>
    <w:p>
      <w:pPr>
        <w:pStyle w:val="Normal"/>
        <w:spacing w:lineRule="auto" w:line="240" w:before="0" w:after="0"/>
        <w:rPr/>
      </w:pPr>
      <w:r>
        <w:rPr/>
      </w:r>
    </w:p>
    <w:p>
      <w:pPr>
        <w:pStyle w:val="Normal"/>
        <w:spacing w:lineRule="auto" w:line="240" w:before="0" w:after="0"/>
        <w:rPr>
          <w:b/>
          <w:bCs/>
        </w:rPr>
      </w:pPr>
      <w:r>
        <w:rPr>
          <w:b/>
          <w:bCs/>
        </w:rPr>
        <w:t>Inclusive Tennis</w:t>
      </w:r>
    </w:p>
    <w:p>
      <w:pPr>
        <w:pStyle w:val="Normal"/>
        <w:spacing w:lineRule="auto" w:line="240" w:before="0" w:after="0"/>
        <w:rPr/>
      </w:pPr>
      <w:r>
        <w:rPr/>
        <w:t xml:space="preserve">We want all members to make the most of their membership and enjoy playing tennis in a safe and inclusive environment, with all members expected to treat one another with respect. You can see our policies and insurances here </w:t>
      </w:r>
      <w:hyperlink r:id="rId9">
        <w:r>
          <w:rPr>
            <w:rStyle w:val="Hyperlink"/>
          </w:rPr>
          <w:t>https://swaveseyovertennis.wixsite.com/sotc/policies-procedures</w:t>
        </w:r>
      </w:hyperlink>
      <w:r>
        <w:rPr/>
        <w:t xml:space="preserve">. </w:t>
      </w:r>
    </w:p>
    <w:p>
      <w:pPr>
        <w:pStyle w:val="Normal"/>
        <w:spacing w:lineRule="auto" w:line="240" w:before="0" w:after="0"/>
        <w:rPr/>
      </w:pPr>
      <w:r>
        <w:rPr/>
      </w:r>
    </w:p>
    <w:p>
      <w:pPr>
        <w:pStyle w:val="Normal"/>
        <w:spacing w:lineRule="auto" w:line="240" w:before="0" w:after="0"/>
        <w:rPr>
          <w:b/>
          <w:bCs/>
        </w:rPr>
      </w:pPr>
      <w:r>
        <w:rPr>
          <w:b/>
          <w:bCs/>
        </w:rPr>
        <w:t>Personal Data</w:t>
      </w:r>
    </w:p>
    <w:p>
      <w:pPr>
        <w:pStyle w:val="Normal"/>
        <w:spacing w:lineRule="auto" w:line="240" w:before="0" w:after="0"/>
        <w:rPr/>
      </w:pPr>
      <w:r>
        <w:rPr/>
        <w:t xml:space="preserve">Your personal data (primarily contact details and payment details) will be processed by SVC Sports Centre staff and by members of the SOTC committee as required for the purposes of club and membership administration and communication. Read more on the way SVC processes data at the Trust’s website </w:t>
      </w:r>
      <w:hyperlink r:id="rId10">
        <w:r>
          <w:rPr>
            <w:rStyle w:val="Hyperlink"/>
          </w:rPr>
          <w:t>https://www.cmatrust.co.uk/key-information/gdpr/</w:t>
        </w:r>
      </w:hyperlink>
      <w:r>
        <w:rPr/>
        <w:t xml:space="preserve">. </w:t>
      </w:r>
    </w:p>
    <w:p>
      <w:pPr>
        <w:pStyle w:val="Normal"/>
        <w:spacing w:lineRule="auto" w:line="240" w:before="0" w:after="0"/>
        <w:rPr/>
      </w:pPr>
      <w:r>
        <w:rPr/>
      </w:r>
    </w:p>
    <w:sectPr>
      <w:footerReference w:type="even" r:id="rId11"/>
      <w:footerReference w:type="default" r:id="rId12"/>
      <w:footerReference w:type="first" r:id="rId13"/>
      <w:type w:val="nextPage"/>
      <w:pgSz w:w="11906" w:h="16838"/>
      <w:pgMar w:left="1440" w:right="1418" w:gutter="0" w:header="0"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635" distB="0" distL="0" distR="0" simplePos="0" locked="0" layoutInCell="0" allowOverlap="1" relativeHeight="2" wp14:anchorId="755A45B7">
              <wp:simplePos x="0" y="0"/>
              <wp:positionH relativeFrom="page">
                <wp:align>left</wp:align>
              </wp:positionH>
              <wp:positionV relativeFrom="page">
                <wp:align>bottom</wp:align>
              </wp:positionV>
              <wp:extent cx="443865" cy="443865"/>
              <wp:effectExtent l="635" t="635" r="0" b="0"/>
              <wp:wrapNone/>
              <wp:docPr id="3" name="Text Box 2" descr="Classification - Public"/>
              <a:graphic xmlns:a="http://schemas.openxmlformats.org/drawingml/2006/main">
                <a:graphicData uri="http://schemas.microsoft.com/office/word/2010/wordprocessingShape">
                  <wps:wsp>
                    <wps:cNvSpPr/>
                    <wps:spPr>
                      <a:xfrm>
                        <a:off x="0" y="0"/>
                        <a:ext cx="443880" cy="443880"/>
                      </a:xfrm>
                      <a:prstGeom prst="rect">
                        <a:avLst/>
                      </a:prstGeom>
                      <a:noFill/>
                      <a:ln w="0">
                        <a:noFill/>
                      </a:ln>
                    </wps:spPr>
                    <wps:style>
                      <a:lnRef idx="0"/>
                      <a:fillRef idx="0"/>
                      <a:effectRef idx="0"/>
                      <a:fontRef idx="minor"/>
                    </wps:style>
                    <wps:txbx>
                      <w:txbxContent>
                        <w:p>
                          <w:pPr>
                            <w:pStyle w:val="FrameContentsuser"/>
                            <w:spacing w:before="0" w:after="0"/>
                            <w:rPr>
                              <w:rFonts w:ascii="Arial" w:hAnsi="Arial" w:eastAsia="Arial" w:cs="Arial"/>
                              <w:color w:val="000000"/>
                              <w:sz w:val="20"/>
                              <w:szCs w:val="20"/>
                            </w:rPr>
                          </w:pPr>
                          <w:r>
                            <w:rPr>
                              <w:rFonts w:eastAsia="Arial" w:cs="Arial" w:ascii="Arial" w:hAnsi="Arial"/>
                              <w:color w:val="000000"/>
                              <w:sz w:val="20"/>
                              <w:szCs w:val="20"/>
                            </w:rPr>
                            <w:t>Classification - Public</w:t>
                          </w:r>
                        </w:p>
                      </w:txbxContent>
                    </wps:txbx>
                    <wps:bodyPr lIns="254160" rIns="0" tIns="0" bIns="190440" anchor="b">
                      <a:prstTxWarp prst="textNoShape"/>
                      <a:spAutoFit/>
                    </wps:bodyPr>
                  </wps:wsp>
                </a:graphicData>
              </a:graphic>
            </wp:anchor>
          </w:drawing>
        </mc:Choice>
        <mc:Fallback>
          <w:pict>
            <v:rect id="shape_0" stroked="f" o:allowincell="f" style="position:absolute;margin-left:0pt;margin-top:0pt;width:34.9pt;height:34.9pt;mso-wrap-style:square;v-text-anchor:bottom;mso-position-horizontal:left;mso-position-horizontal-relative:page;mso-position-vertical:bottom;mso-position-vertical-relative:page" wp14:anchorId="755A45B7">
              <v:fill o:detectmouseclick="t" on="false"/>
              <v:stroke color="#3465a4" joinstyle="round" endcap="flat"/>
              <v:textbox>
                <w:txbxContent>
                  <w:p>
                    <w:pPr>
                      <w:pStyle w:val="FrameContentsuser"/>
                      <w:spacing w:before="0" w:after="0"/>
                      <w:rPr>
                        <w:rFonts w:ascii="Arial" w:hAnsi="Arial" w:eastAsia="Arial" w:cs="Arial"/>
                        <w:color w:val="000000"/>
                        <w:sz w:val="20"/>
                        <w:szCs w:val="20"/>
                      </w:rPr>
                    </w:pPr>
                    <w:r>
                      <w:rPr>
                        <w:rFonts w:eastAsia="Arial" w:cs="Arial" w:ascii="Arial" w:hAnsi="Arial"/>
                        <w:color w:val="000000"/>
                        <w:sz w:val="20"/>
                        <w:szCs w:val="20"/>
                      </w:rPr>
                      <w:t>Classification - Public</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8"/>
        <w:szCs w:val="18"/>
      </w:rPr>
    </w:pPr>
    <w:r>
      <w:rPr>
        <w:sz w:val="18"/>
        <w:szCs w:val="18"/>
      </w:rPr>
      <w:t xml:space="preserve">About SOTC for Members – December 2025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8"/>
        <w:szCs w:val="18"/>
      </w:rPr>
    </w:pPr>
    <w:r>
      <w:rPr>
        <w:sz w:val="18"/>
        <w:szCs w:val="18"/>
      </w:rPr>
      <w:t xml:space="preserve">About SOTC for Members – December 2025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2035d"/>
    <w:rPr>
      <w:color w:val="0000FF"/>
      <w:u w:val="single"/>
    </w:rPr>
  </w:style>
  <w:style w:type="character" w:styleId="FooterChar" w:customStyle="1">
    <w:name w:val="Footer Char"/>
    <w:basedOn w:val="DefaultParagraphFont"/>
    <w:link w:val="Footer"/>
    <w:uiPriority w:val="99"/>
    <w:qFormat/>
    <w:rsid w:val="00505ef5"/>
    <w:rPr/>
  </w:style>
  <w:style w:type="character" w:styleId="UnresolvedMention">
    <w:name w:val="Unresolved Mention"/>
    <w:basedOn w:val="DefaultParagraphFont"/>
    <w:uiPriority w:val="99"/>
    <w:semiHidden/>
    <w:unhideWhenUsed/>
    <w:qFormat/>
    <w:rsid w:val="000d002b"/>
    <w:rPr>
      <w:color w:val="605E5C"/>
      <w:shd w:fill="E1DFDD" w:val="clear"/>
    </w:rPr>
  </w:style>
  <w:style w:type="character" w:styleId="HeaderChar" w:customStyle="1">
    <w:name w:val="Header Char"/>
    <w:basedOn w:val="DefaultParagraphFont"/>
    <w:link w:val="Header"/>
    <w:uiPriority w:val="99"/>
    <w:qFormat/>
    <w:rsid w:val="001f3b8c"/>
    <w:rPr/>
  </w:style>
  <w:style w:type="character" w:styleId="FollowedHyperlink">
    <w:name w:val="FollowedHyperlink"/>
    <w:basedOn w:val="DefaultParagraphFont"/>
    <w:uiPriority w:val="99"/>
    <w:semiHidden/>
    <w:unhideWhenUsed/>
    <w:rsid w:val="003f2c0c"/>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73a36"/>
    <w:pPr>
      <w:spacing w:before="0" w:after="160"/>
      <w:ind w:left="720"/>
      <w:contextualSpacing/>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505ef5"/>
    <w:pPr>
      <w:tabs>
        <w:tab w:val="clear" w:pos="720"/>
        <w:tab w:val="center" w:pos="4513" w:leader="none"/>
        <w:tab w:val="right" w:pos="9026" w:leader="none"/>
      </w:tabs>
      <w:spacing w:lineRule="auto" w:line="240" w:before="0" w:after="0"/>
    </w:pPr>
    <w:rPr/>
  </w:style>
  <w:style w:type="paragraph" w:styleId="Revision">
    <w:name w:val="Revision"/>
    <w:uiPriority w:val="99"/>
    <w:semiHidden/>
    <w:qFormat/>
    <w:rsid w:val="00c934b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paragraph" w:styleId="NoSpacing">
    <w:name w:val="No Spacing"/>
    <w:uiPriority w:val="1"/>
    <w:qFormat/>
    <w:rsid w:val="00ff29e9"/>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14:ligatures w14:val="none"/>
    </w:rPr>
  </w:style>
  <w:style w:type="paragraph" w:styleId="Header">
    <w:name w:val="header"/>
    <w:basedOn w:val="Normal"/>
    <w:link w:val="HeaderChar"/>
    <w:uiPriority w:val="99"/>
    <w:unhideWhenUsed/>
    <w:rsid w:val="001f3b8c"/>
    <w:pPr>
      <w:tabs>
        <w:tab w:val="clear" w:pos="720"/>
        <w:tab w:val="center" w:pos="4513" w:leader="none"/>
        <w:tab w:val="right" w:pos="9026" w:leader="none"/>
      </w:tabs>
      <w:spacing w:lineRule="auto" w:line="240" w:before="0" w:after="0"/>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e5e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www.google.co.uk/imgres?hl=en&amp;sa=X&amp;biw=1366&amp;bih=768&amp;tbm=isch&amp;tbnid=2gQQbewanzu4SM:&amp;imgrefurl=http://www.clipartpal.com/clipart/sport/tennis_259469.html&amp;docid=FzW_AC083y9bJM&amp;imgurl=http://www.clipartpal.com/_thumbs/tennis_rackets_tnb.png&amp;w=350&amp;h=350&amp;ei=YUc7Ua3mMuXD7AaruIHIDg&amp;zoom=1&amp;ved=1t:3588,r:30,s:0,i:179&amp;iact=rc&amp;dur=7803&amp;page=2&amp;tbnh=184&amp;tbnw=182&amp;start=20&amp;ndsp=27&amp;tx=95&amp;ty=98" TargetMode="External"/><Relationship Id="rId5" Type="http://schemas.openxmlformats.org/officeDocument/2006/relationships/hyperlink" Target="mailto:sport@swaveseyvc.co.uk" TargetMode="External"/><Relationship Id="rId6" Type="http://schemas.openxmlformats.org/officeDocument/2006/relationships/hyperlink" Target="https://swaveseyovertennis.wixsite.com/sotc/membership" TargetMode="External"/><Relationship Id="rId7" Type="http://schemas.openxmlformats.org/officeDocument/2006/relationships/hyperlink" Target="https://schoolhire.co.uk/cambridge/swaveseyvc" TargetMode="External"/><Relationship Id="rId8" Type="http://schemas.openxmlformats.org/officeDocument/2006/relationships/hyperlink" Target="http://www.lta.org.uk/members/join" TargetMode="External"/><Relationship Id="rId9" Type="http://schemas.openxmlformats.org/officeDocument/2006/relationships/hyperlink" Target="https://swaveseyovertennis.wixsite.com/sotc/policies-procedures" TargetMode="External"/><Relationship Id="rId10" Type="http://schemas.openxmlformats.org/officeDocument/2006/relationships/hyperlink" Target="https://www.cmatrust.co.uk/key-information/gdpr/"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LibreOffice/25.8.4.2$Windows_X86_64 LibreOffice_project/290daaa01b999472f0c7a3890eb6a550fd74c6df</Application>
  <AppVersion>15.0000</AppVersion>
  <Pages>2</Pages>
  <Words>683</Words>
  <Characters>3618</Characters>
  <CharactersWithSpaces>4243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2025-04-10T09:41:00Z</dcterms:created>
  <dc:creator>Melanie Pankhurst</dc:creator>
  <dc:description/>
  <dc:language>en-GB</dc:language>
  <cp:lastModifiedBy/>
  <cp:lastPrinted>2025-12-14T13:47:45Z</cp:lastPrinted>
  <dcterms:modified xsi:type="dcterms:W3CDTF">2025-12-19T17:06:52Z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#000000,10,Arial</vt:lpwstr>
  </property>
  <property fmtid="{D5CDD505-2E9C-101B-9397-08002B2CF9AE}" pid="3" name="ClassificationContentMarkingFooterShapeIds">
    <vt:lpwstr>1,2,3</vt:lpwstr>
  </property>
  <property fmtid="{D5CDD505-2E9C-101B-9397-08002B2CF9AE}" pid="4" name="ClassificationContentMarkingFooterText">
    <vt:lpwstr>Classification - Public</vt:lpwstr>
  </property>
  <property fmtid="{D5CDD505-2E9C-101B-9397-08002B2CF9AE}" pid="5" name="MSIP_Label_ff528e02-ab69-43a8-9134-6d8d1b0c706c_ActionId">
    <vt:lpwstr>8de45c29-2d5e-47f2-b10b-bec4d23c5c41</vt:lpwstr>
  </property>
  <property fmtid="{D5CDD505-2E9C-101B-9397-08002B2CF9AE}" pid="6" name="MSIP_Label_ff528e02-ab69-43a8-9134-6d8d1b0c706c_ContentBits">
    <vt:lpwstr>2</vt:lpwstr>
  </property>
  <property fmtid="{D5CDD505-2E9C-101B-9397-08002B2CF9AE}" pid="7" name="MSIP_Label_ff528e02-ab69-43a8-9134-6d8d1b0c706c_Enabled">
    <vt:lpwstr>true</vt:lpwstr>
  </property>
  <property fmtid="{D5CDD505-2E9C-101B-9397-08002B2CF9AE}" pid="8" name="MSIP_Label_ff528e02-ab69-43a8-9134-6d8d1b0c706c_Method">
    <vt:lpwstr>Standard</vt:lpwstr>
  </property>
  <property fmtid="{D5CDD505-2E9C-101B-9397-08002B2CF9AE}" pid="9" name="MSIP_Label_ff528e02-ab69-43a8-9134-6d8d1b0c706c_Name">
    <vt:lpwstr>ff528e02-ab69-43a8-9134-6d8d1b0c706c</vt:lpwstr>
  </property>
  <property fmtid="{D5CDD505-2E9C-101B-9397-08002B2CF9AE}" pid="10" name="MSIP_Label_ff528e02-ab69-43a8-9134-6d8d1b0c706c_SetDate">
    <vt:lpwstr>2023-07-18T21:50:29Z</vt:lpwstr>
  </property>
  <property fmtid="{D5CDD505-2E9C-101B-9397-08002B2CF9AE}" pid="11" name="MSIP_Label_ff528e02-ab69-43a8-9134-6d8d1b0c706c_SiteId">
    <vt:lpwstr>f9300280-65a0-46f8-a18c-a296431980f5</vt:lpwstr>
  </property>
</Properties>
</file>